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caps w:val="1"/>
          <w:sz w:val="28"/>
          <w:szCs w:val="28"/>
        </w:rPr>
      </w:pPr>
      <w:r>
        <w:rPr>
          <w:rFonts w:ascii="Times New Roman" w:hAnsi="Times New Roman" w:hint="default"/>
          <w:caps w:val="1"/>
          <w:sz w:val="28"/>
          <w:szCs w:val="28"/>
          <w:rtl w:val="0"/>
          <w:lang w:val="ru-RU"/>
        </w:rPr>
        <w:t>НАЦИОНАЛЬНАЯ АКАДЕМИЯ НАУК БЕЛАРУСИ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 ИССЛЕДОВАНИЙ БЕЛОРУССКОЙ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ЯЗЫКА И ЛИТЕРАТУРЫ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 ЯЗЫКОЗНАНИЯ имени ЯКУБА КОЛАСА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ИНФОРМАЦИОННОЕ ПИСЬМО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mallCaps w:val="1"/>
          <w:sz w:val="28"/>
          <w:szCs w:val="28"/>
        </w:rPr>
      </w:pPr>
      <w:r>
        <w:rPr>
          <w:rFonts w:ascii="Times New Roman" w:hAnsi="Times New Roman" w:hint="default"/>
          <w:smallCaps w:val="1"/>
          <w:sz w:val="28"/>
          <w:szCs w:val="28"/>
          <w:rtl w:val="0"/>
          <w:lang w:val="ru-RU"/>
        </w:rPr>
        <w:t>УВАЖАЕМЫЕ КОЛЛЕГИ</w:t>
      </w:r>
      <w:r>
        <w:rPr>
          <w:rFonts w:ascii="Times New Roman" w:hAnsi="Times New Roman"/>
          <w:smallCaps w:val="1"/>
          <w:sz w:val="28"/>
          <w:szCs w:val="28"/>
          <w:rtl w:val="0"/>
          <w:lang w:val="ru-RU"/>
        </w:rPr>
        <w:t>!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mallCaps w:val="1"/>
          <w:sz w:val="28"/>
          <w:szCs w:val="28"/>
          <w:rtl w:val="0"/>
          <w:lang w:val="ru-RU"/>
        </w:rPr>
        <w:t>ПРИГЛАШАЕМ ВАС ПРИНЯТЬ УЧАСТИЕ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МЕЖДУНАРОДНОЙ НАУЧНОЙ КОНФЕРЕНЦИИ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“ЭТНОЛИНГВИСТИКА И ТРАДИЦИОННАЯ КУЛЬТУРА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ДИАХРОНИЧЕСКИЙ И СИНХРОНИЧЕСКИЙ АСПЕКТЫ МЕЖЪЯЗЫКОВОГО ВЗАИМОДЕЙСТВИЯ”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Минск</w:t>
      </w:r>
      <w:r>
        <w:rPr>
          <w:rFonts w:ascii="Times New Roman" w:hAnsi="Times New Roman"/>
          <w:sz w:val="28"/>
          <w:szCs w:val="28"/>
          <w:rtl w:val="0"/>
          <w:lang w:val="ru-RU"/>
        </w:rPr>
        <w:t>, 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Проблематика конференции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Актуальные проблемы этнолингвистики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Методологический аспект этнолингвистических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Этнолингвистика и фольклористика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Этнолингвистика и ономастика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Этнолингвистика и этимология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Язык и духовная культура в диахронических исследованиях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Этнолингвистика в контексте славистических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Заявку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участия и краткую аннотацию доклада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просим присылать до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сентября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2022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адрес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konf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ethno</w:t>
      </w:r>
      <w:r>
        <w:rPr>
          <w:rFonts w:ascii="Times New Roman" w:hAnsi="Times New Roman"/>
          <w:sz w:val="28"/>
          <w:szCs w:val="28"/>
          <w:rtl w:val="0"/>
          <w:lang w:val="ru-RU"/>
        </w:rPr>
        <w:t>@</w:t>
      </w:r>
      <w:r>
        <w:rPr>
          <w:rFonts w:ascii="Times New Roman" w:hAnsi="Times New Roman"/>
          <w:sz w:val="28"/>
          <w:szCs w:val="28"/>
          <w:rtl w:val="0"/>
          <w:lang w:val="en-US"/>
        </w:rPr>
        <w:t>tut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by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форму заявки см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ниже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Регламент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доклады на пленарном заседании –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секциях –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Выступления и сообщения во время дискуссий –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Рабочие языки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конференции – все славянские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английский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Проведение конференции запланировано в онлайн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формате на платформе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Zoom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Ссылка для подключения будет отправлена накануне конференции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64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Материалы для публикации необходимо прислать до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Оргкомитет оставляет за собой право отбора материалов для публикации в сборнике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Публикация материалов бесплатная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Текст статьи должен быть вычитан и оформлен в соответствии с нижеприведенными требованиями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Ответственность за содержание материалов несут авторы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Требования к оформлению докладов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Документ сохраняется в формате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rtf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Объем материалов –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знаков с учетом пробелов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Текстовый редактор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Microsoft Word,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шрифт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Times New Roman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основной текст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аннотация на языке доклада и на английском языке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ключевые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библиографический список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ссылки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первой строке слева указывается УДК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строку – название статьи прописными буквами жирным шрифтом по центру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Через строку – имя и фамилия автора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жирным шрифтом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ниже через строку – организация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представляет автор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курсивом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Через строку – аннотация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курсивом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12 </w:t>
      </w:r>
      <w:r>
        <w:rPr>
          <w:rFonts w:ascii="Times New Roman" w:hAnsi="Times New Roman"/>
          <w:sz w:val="28"/>
          <w:szCs w:val="28"/>
          <w:rtl w:val="0"/>
          <w:lang w:val="en-US"/>
        </w:rPr>
        <w:t>pt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следующей строке – ключевые слова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курсивом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Само словосочетание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“Ключевые слова”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курсивом и жирным шрифтом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строку даются те же сведения на английском языке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передаче имени и фамилии в английской транслитерации необходимо ориентироваться на официальный вариант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заявленный в паспорте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Основной текст доклада располагается через строку после ключевых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Через строку после основного текста по центру курсивом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Список литературы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жирным шрифтом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12 </w:t>
      </w:r>
      <w:r>
        <w:rPr>
          <w:rFonts w:ascii="Times New Roman" w:hAnsi="Times New Roman"/>
          <w:sz w:val="28"/>
          <w:szCs w:val="28"/>
          <w:rtl w:val="0"/>
          <w:lang w:val="en-US"/>
        </w:rPr>
        <w:t>pt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следующей строке – источники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алфавиту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строку – список литературы в английской транслитерации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абзац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использовать табуляцию и пробелы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межстрочный интервал – одинарный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64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Оформление ссылок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ссылки постраничные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пронумерованы арабскими цифрами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Знаки препинания при ссылках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запятая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точка с запятой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двоеточие ставятся после ссылки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вопросительный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восклицательный знаки и многоточие ставятся перед ссылкой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Кавычки также ставятся перед ссылкой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Замечания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тексте в нижеперечисленных случаях обязательным является использование функции “неразрывный пробел” 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shift</w:t>
      </w:r>
      <w:r>
        <w:rPr>
          <w:rFonts w:ascii="Times New Roman" w:hAnsi="Times New Roman"/>
          <w:sz w:val="28"/>
          <w:szCs w:val="28"/>
          <w:rtl w:val="0"/>
          <w:lang w:val="ru-RU"/>
        </w:rPr>
        <w:t>+</w:t>
      </w:r>
      <w:r>
        <w:rPr>
          <w:rFonts w:ascii="Times New Roman" w:hAnsi="Times New Roman"/>
          <w:sz w:val="28"/>
          <w:szCs w:val="28"/>
          <w:rtl w:val="0"/>
          <w:lang w:val="en-US"/>
        </w:rPr>
        <w:t>ctrl</w:t>
      </w:r>
      <w:r>
        <w:rPr>
          <w:rFonts w:ascii="Times New Roman" w:hAnsi="Times New Roman"/>
          <w:sz w:val="28"/>
          <w:szCs w:val="28"/>
          <w:rtl w:val="0"/>
          <w:lang w:val="ru-RU"/>
        </w:rPr>
        <w:t>+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пробел</w:t>
      </w:r>
      <w:r>
        <w:rPr>
          <w:rFonts w:ascii="Times New Roman" w:hAnsi="Times New Roman"/>
          <w:sz w:val="28"/>
          <w:szCs w:val="28"/>
          <w:rtl w:val="0"/>
          <w:lang w:val="ru-RU"/>
        </w:rPr>
        <w:t>):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между инициалами и фамилиями исследователей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информантов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Антропов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Боганева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между сокращенным обозначением типа населенного пункта и его названием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Гомель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Стайки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между цифрами и следующим словом или общепринятым сокращением при указании дат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временных промежутков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разных численных показателей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., 14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ХХ–ХХІ вв</w:t>
      </w:r>
      <w:r>
        <w:rPr>
          <w:rFonts w:ascii="Times New Roman" w:hAnsi="Times New Roman"/>
          <w:sz w:val="28"/>
          <w:szCs w:val="28"/>
          <w:rtl w:val="0"/>
          <w:lang w:val="ru-RU"/>
        </w:rPr>
        <w:t>., 60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км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между тире и предыдущим словом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Имена в псевдонимах не сокращаются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даются целиком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указании веков используются римские цифры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тексте используются специфические шрифты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они даются отдельным файлом вместе с текстом статьи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тексте используются фотографии в качестве иллюстрации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они также даются отдельными файлами в формате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jpg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Кавычки в тексте используются в виде “елочек”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  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Использование кавычек в виде “лапок”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“  ”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допускается только внутри цитат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Литература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оформляется в конце текста под названием «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Список литературы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в соответствии с требованиями ВАК РБ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(http://www.vak.org.by/bibliographicDescription).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Источники даются в алфавитном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тексте ссылки на литературу обозначаются квадратными скобками с указанием в них номера источника и страницы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запятую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[3,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15].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ссылке сразу на несколько источников их номера разделяются точкой с запятой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[3,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15; 6,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20].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проживание и питание осуществляется за счет участников конференции или командирующей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организационным вопросам обращаться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Олиферчик Татьяна – </w:t>
      </w:r>
      <w:r>
        <w:rPr>
          <w:rFonts w:ascii="Times New Roman" w:hAnsi="Times New Roman"/>
          <w:sz w:val="28"/>
          <w:szCs w:val="28"/>
          <w:rtl w:val="0"/>
          <w:lang w:val="en-US"/>
        </w:rPr>
        <w:t>olif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/>
          <w:sz w:val="28"/>
          <w:szCs w:val="28"/>
          <w:rtl w:val="0"/>
          <w:lang w:val="en-US"/>
        </w:rPr>
        <w:t>tanya</w:t>
      </w:r>
      <w:r>
        <w:rPr>
          <w:rFonts w:ascii="Times New Roman" w:hAnsi="Times New Roman"/>
          <w:sz w:val="28"/>
          <w:szCs w:val="28"/>
          <w:rtl w:val="0"/>
          <w:lang w:val="ru-RU"/>
        </w:rPr>
        <w:t>@</w:t>
      </w:r>
      <w:r>
        <w:rPr>
          <w:rFonts w:ascii="Times New Roman" w:hAnsi="Times New Roman"/>
          <w:sz w:val="28"/>
          <w:szCs w:val="28"/>
          <w:rtl w:val="0"/>
          <w:lang w:val="en-US"/>
        </w:rPr>
        <w:t>tut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by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+375 17 2702469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>.); +375 44 7036553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</w:t>
      </w:r>
      <w:r>
        <w:rPr>
          <w:rFonts w:ascii="Times New Roman" w:hAnsi="Times New Roman"/>
          <w:sz w:val="28"/>
          <w:szCs w:val="28"/>
          <w:rtl w:val="0"/>
          <w:lang w:val="ru-RU"/>
        </w:rPr>
        <w:t>.);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Алексеевич Анна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hanaaleks@gmail.com,  +375 17 2702469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>.); +375 29 5027469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</w:t>
      </w:r>
      <w:r>
        <w:rPr>
          <w:rFonts w:ascii="Times New Roman" w:hAnsi="Times New Roman"/>
          <w:sz w:val="28"/>
          <w:szCs w:val="28"/>
          <w:rtl w:val="0"/>
          <w:lang w:val="ru-RU"/>
        </w:rPr>
        <w:t>.);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Боганева Елена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elboganeva@gmail.com, +375 17 2702469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>.); +375 44 7406864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</w:t>
      </w:r>
      <w:r>
        <w:rPr>
          <w:rFonts w:ascii="Times New Roman" w:hAnsi="Times New Roman"/>
          <w:sz w:val="28"/>
          <w:szCs w:val="28"/>
          <w:rtl w:val="0"/>
          <w:lang w:val="ru-RU"/>
        </w:rPr>
        <w:t>.)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line="240" w:lineRule="auto"/>
        <w:ind w:firstLine="708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 уважением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оргкомитет</w:t>
      </w:r>
    </w:p>
    <w:p>
      <w:pPr>
        <w:pStyle w:val="Normal (Web)"/>
        <w:spacing w:before="0" w:after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  <w:br w:type="page"/>
      </w:r>
    </w:p>
    <w:p>
      <w:pPr>
        <w:pStyle w:val="Normal (Web)"/>
        <w:spacing w:before="0" w:after="0"/>
        <w:jc w:val="center"/>
        <w:rPr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Заявка</w:t>
      </w:r>
    </w:p>
    <w:p>
      <w:pPr>
        <w:pStyle w:val="Normal (Web)"/>
        <w:spacing w:before="0" w:after="0"/>
        <w:jc w:val="center"/>
        <w:rPr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для участия в Международной научной конференции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“Этнолингвистика и традиционная культура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диахронический и синхронический аспекты межъязыкового взаимодействия”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Минск</w:t>
      </w:r>
      <w:r>
        <w:rPr>
          <w:rFonts w:ascii="Times New Roman" w:hAnsi="Times New Roman"/>
          <w:sz w:val="28"/>
          <w:szCs w:val="28"/>
          <w:rtl w:val="0"/>
          <w:lang w:val="ru-RU"/>
        </w:rPr>
        <w:t>, 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56"/>
        <w:gridCol w:w="4489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Имя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Мес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то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Ученая степень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Ученое звание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клада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(+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индекс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Контактный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телефон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(+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mail</w:t>
            </w:r>
          </w:p>
        </w:tc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Краткая аннотация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доклада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264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Образец оформления материалов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УДК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МЕТАДАЛАГІЧНЫЯ АСНОВЫ ЭТНАЛІНГВІСТЫЧНЫХ ДАСЛЕДАВАННЯЎ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Іван Іваноў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Беларускі дзяржаўны ўніверсітэт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Мінск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Беларусь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Анатацыя…………………………………………………………………………………………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Ключавыя словы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METHODOLOGICAL FOUNDATIONS OF ETHNOLINGUISTIC RESEARCH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Ivan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Ivanou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(Belarusian State University,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Minsk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Belarus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Summary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…………………………………………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Key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words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Тэкст…………………………………………………………………………………………………………………………………………………………………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Спіс літаратуры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Бірыла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Літоўскія элементы ў беларускай анамастыцы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Бірыла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Мінск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Навука і тэхніка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1968.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References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Biryla, M.V. Lito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ŭ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skija eliemienty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ŭ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bielaruskaj anamastycy / M.V. Biryla.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Minsk : Navuka i technika, 1968.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100 s.</w:t>
      </w:r>
    </w:p>
    <w:p>
      <w:pPr>
        <w:pStyle w:val="List Paragraph"/>
        <w:spacing w:line="264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64" w:lineRule="auto"/>
        <w:ind w:left="709" w:firstLine="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82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6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6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6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